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2023年度法律服务及案件服务采购项目项目概况、服务内容及工作要求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leftChars="0" w:right="0" w:rightChars="0" w:firstLine="660" w:firstLineChars="20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leftChars="0" w:right="0" w:rightChars="0" w:firstLine="660" w:firstLineChars="20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服务范围:福州市土地发展中心2023年度法律服务及案件的法律事务。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leftChars="0" w:right="0" w:rightChars="0" w:firstLine="660" w:firstLineChars="200"/>
        <w:jc w:val="left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项目控制价：116万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eastAsia="zh-CN"/>
        </w:rPr>
        <w:t>服务内容及工作要求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Style w:val="11"/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（一）主要职责</w:t>
      </w:r>
      <w:r>
        <w:rPr>
          <w:rStyle w:val="11"/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与工作范围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1.在接到中心要求后2个工作日内提供法律咨询服务并出具书面法律服务意见。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2.在接到中心要求后2个工作日内起草、审核、修订合同/协议及其他法律文件，并出具书面法律服务意见。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3.根据中心要求参与合同/协议、重大法律事务磋商、谈判，并在会商后1个工作日内出具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《法务会商记录》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和书面法律服务意见。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接受中心委托代理各类行政复议/裁决、听证、调解、仲裁、诉讼（含执行）案件（包括市政府指定中心代为应诉案件），并在受托后2个工作日内梳理出办案所需《材料清单》、在案件审理机构要求时限届满前5个工作日内提交书面《法律意见书》《答辩状》等法律文书、按时出席庭审、第一时间汇报案件办理过程、审理结果等情况，并在案件审结后2个工作日内针对案情分析、下一步应对策略等出具《结案报告》；涉及重大、疑难案件的，需第一时间作出风险提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5.配合开展信访化解工作，就信访涉及法律问题提供书面法律服务意见。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6.定期组织法律培训（每年不少于2次），分析涉诉案件暴露出的风险点，解读最新自然资源管理政策、土地储备相关政策。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7.协助中心开展法务文书整理归档、各类法治考评迎检等法务日常工作。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 w:right="0" w:rightChars="0" w:firstLine="640" w:firstLineChars="200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/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（二）其他工作要求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1.需选派两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 w:bidi="ar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"/>
        </w:rPr>
        <w:t>法律顾问助理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"/>
        </w:rPr>
        <w:t>驻点中心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办公（办公地点可考虑安排在项目规划处），参照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职工进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日常考勤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中心政务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OA系统办公,服务期内未经中心允许不得随意更换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bidi="ar"/>
        </w:rPr>
        <w:t>法律顾问助理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eastAsia="zh-CN" w:bidi="ar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。</w:t>
      </w:r>
    </w:p>
    <w:p>
      <w:pPr>
        <w:spacing w:beforeLines="0" w:afterLines="0" w:line="660" w:lineRule="exact"/>
        <w:ind w:firstLine="632" w:firstLineChars="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2.在提供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法律咨询、文书审查等服务时，应全面了解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了解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业务需求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，经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合法性、合理性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、可行性、必要性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及必要的</w:t>
      </w: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尽职调查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后，出具书面法律服务意见。法律服务意见需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 w:bidi="ar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列入团队名单的任一成员（含2名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法律顾问助理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）签字（含OA电子签）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 w:bidi="ar"/>
        </w:rPr>
        <w:t>方生效，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相应责任由中标人承担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right="0" w:rightChars="0" w:firstLine="632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3.需建立利益冲突审查制度。代理的法律事务可能与中心利益产生冲突或者利害关系的，应当主动进行回避，并合理安排好回避后的法律事务服务工作，不得因回避影响中心工作。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 xml:space="preserve">    4.中心委托律师代理案件时继续授权其代为签收，但律师需在签收文书的当天将原件投递至中心收件箱，以其他途径投递材料的，视同未送达。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b w:val="0"/>
          <w:bCs w:val="0"/>
          <w:highlight w:val="none"/>
          <w:lang w:val="en-US" w:eastAsia="zh-CN" w:bidi="ar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5.需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遵守我市现行法律顾问制度、遵守中心制定的《关于进一步规范法律事务运转模式的办法（试行）》，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并按照规定要求开展法律服务工作。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Style w:val="11"/>
          <w:rFonts w:hint="eastAsia" w:ascii="楷体_GB2312" w:hAnsi="楷体_GB2312" w:eastAsia="楷体_GB2312" w:cs="楷体_GB2312"/>
          <w:b/>
          <w:bCs/>
          <w:highlight w:val="none"/>
          <w:lang w:val="en-US" w:eastAsia="zh-Hans"/>
        </w:rPr>
      </w:pPr>
      <w:r>
        <w:rPr>
          <w:rStyle w:val="11"/>
          <w:rFonts w:hint="eastAsia" w:ascii="楷体_GB2312" w:hAnsi="楷体_GB2312" w:eastAsia="楷体_GB2312" w:cs="楷体_GB2312"/>
          <w:b w:val="0"/>
          <w:bCs w:val="0"/>
          <w:highlight w:val="none"/>
          <w:lang w:val="en-US" w:eastAsia="zh-CN"/>
        </w:rPr>
        <w:t>（三）罚</w:t>
      </w:r>
      <w:r>
        <w:rPr>
          <w:rStyle w:val="11"/>
          <w:rFonts w:hint="eastAsia" w:ascii="楷体_GB2312" w:hAnsi="楷体_GB2312" w:eastAsia="楷体_GB2312" w:cs="楷体_GB2312"/>
          <w:b w:val="0"/>
          <w:bCs w:val="0"/>
          <w:highlight w:val="none"/>
          <w:lang w:val="en-US" w:eastAsia="zh-Hans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60" w:lineRule="exact"/>
        <w:ind w:left="0" w:leftChars="0" w:right="0" w:rightChars="0" w:firstLine="63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1.按《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法律顾问违约金计取标准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4）计取违约金，服务期内违约金金额超过4000元的，中心有权单方解除合同。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atLeast"/>
        <w:ind w:left="0" w:leftChars="0" w:right="0" w:rightChars="0" w:firstLine="6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2.无正当理由不参加业务工作会议或现场服务3次以上；无正当理由不按时完成法律咨询答复、出具法律意见书、举办法律讲座培训等合同约定的服务任务3次以上；因自身过错导致参与审核的规范性文件被备案审查机关、复议机关、人民法院纠错2次以上;因自身过错导致中心的行政行为被复议机关、人民法院撤销、确认违法2次以上；因自身过错导致审查过的合同被撤销或被确认无效2次以上；因自身过错造成代理的行政复议案件被撤销或确认违法、行政诉讼案件败诉两次以上；中心有权单方解除合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ZGJjZGU5YTE4M2JjYmZiYWM4NDk5NmU5NWU4MjQifQ=="/>
  </w:docVars>
  <w:rsids>
    <w:rsidRoot w:val="00000000"/>
    <w:rsid w:val="0EB8597D"/>
    <w:rsid w:val="21E876A2"/>
    <w:rsid w:val="3EC02FFB"/>
    <w:rsid w:val="429C3080"/>
    <w:rsid w:val="68646FFA"/>
    <w:rsid w:val="6B6E2B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eastAsia="仿宋"/>
      <w:color w:val="000000"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rFonts w:ascii="Calibri" w:hAnsi="Calibri"/>
      <w:szCs w:val="20"/>
    </w:rPr>
  </w:style>
  <w:style w:type="paragraph" w:styleId="6">
    <w:name w:val="Body Text 2"/>
    <w:basedOn w:val="1"/>
    <w:next w:val="5"/>
    <w:qFormat/>
    <w:uiPriority w:val="0"/>
    <w:pPr>
      <w:spacing w:line="480" w:lineRule="auto"/>
    </w:pPr>
    <w:rPr>
      <w:rFonts w:ascii="Calibri" w:hAnsi="Calibri"/>
      <w:szCs w:val="20"/>
    </w:rPr>
  </w:style>
  <w:style w:type="paragraph" w:styleId="7">
    <w:name w:val="Balloon Text"/>
    <w:basedOn w:val="1"/>
    <w:next w:val="8"/>
    <w:qFormat/>
    <w:uiPriority w:val="0"/>
    <w:rPr>
      <w:sz w:val="18"/>
      <w:szCs w:val="18"/>
    </w:rPr>
  </w:style>
  <w:style w:type="paragraph" w:styleId="8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1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1897</Words>
  <Characters>1951</Characters>
  <Lines>0</Lines>
  <Paragraphs>0</Paragraphs>
  <ScaleCrop>false</ScaleCrop>
  <LinksUpToDate>false</LinksUpToDate>
  <CharactersWithSpaces>1972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2023-07-26T08:44:00Z</dcterms:created>
  <dc:creator>Administrator</dc:creator>
  <cp:lastModifiedBy>null</cp:lastModifiedBy>
  <dcterms:modified xsi:type="dcterms:W3CDTF">2023-07-28T08:30:10Z</dcterms:modified>
  <dc:title>福州市土地发展中心关于对2023年度法律服务及案件服务采购项目意向供应商的前期摸底公告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BDEC09AA2D24476BB15E5A00D9AECE3A_12</vt:lpwstr>
  </property>
</Properties>
</file>